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t>教育部學產基金設置低收入戶學生助學金實施要點</w:t>
      </w:r>
    </w:p>
    <w:p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日臺教秘(五)字第1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(一)現就讀國內公私立國民中學或國民小學，其前一學期在學未受記過以上之處分者。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(一)大學校院碩士班、博士班及其附設大學進修學校、專科進修學校及空中進修學院。</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(一)國民小學：每人新臺幣二千五百元。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前項學生每學期得領受助學金之名額，由本部組成之複審小組定之。</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六、已領有下列補助之一者，不得申請本補助；已領取者，應繳回：</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(一)公教人員子女教育補助。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(十)國軍退除役官兵輔導委員會之清寒榮民及清寒遺眷子女獎助學金。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(十二)農業部之農漁民子女助學金。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(十三)內政部移民署之新住民及其子女清寒助學金。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(一)受各直轄市、縣（市）政府委託之學校應於每學期結束前，將補助經費撥付予申請助學金學生就讀學校後，逕向本部委託之承辦學校辦理核銷。</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(二)受本部委託之承辦學校應於當年度會計年度結束前，彙整本學期全國各申請學校核銷資料，依教育部補（捐）助及委辦經費核撥結報作業要點規定，辦理結案事宜。</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(一)執行本要點有功人員，得依相關規定敘獎。</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rsidR="008D1AE7" w:rsidRPr="0079516C" w:rsidRDefault="008D1AE7" w:rsidP="008D1AE7">
      <w:pPr>
        <w:widowControl/>
        <w:suppressAutoHyphens w:val="0"/>
      </w:pPr>
    </w:p>
    <w:p w:rsidR="008158DF" w:rsidRPr="0079516C" w:rsidRDefault="008158DF" w:rsidP="00091D6A">
      <w:pPr>
        <w:snapToGrid w:val="0"/>
        <w:spacing w:line="400" w:lineRule="exact"/>
        <w:jc w:val="both"/>
        <w:rPr>
          <w:rFonts w:ascii="標楷體" w:eastAsia="標楷體" w:hAnsi="標楷體" w:hint="eastAsia"/>
          <w:b/>
          <w:sz w:val="30"/>
          <w:szCs w:val="30"/>
        </w:rPr>
        <w:sectPr w:rsidR="008158DF" w:rsidRPr="0079516C" w:rsidSect="00642A6B">
          <w:footerReference w:type="default" r:id="rId8"/>
          <w:pgSz w:w="11907" w:h="16840"/>
          <w:pgMar w:top="567" w:right="567" w:bottom="567" w:left="567" w:header="851" w:footer="720" w:gutter="0"/>
          <w:pgNumType w:start="0"/>
          <w:cols w:space="720"/>
          <w:titlePg/>
          <w:docGrid w:type="lines" w:linePitch="331"/>
        </w:sectPr>
      </w:pPr>
      <w:bookmarkStart w:id="0" w:name="_GoBack"/>
      <w:bookmarkEnd w:id="0"/>
    </w:p>
    <w:p w:rsidR="00574A55" w:rsidRDefault="00574A55" w:rsidP="00091D6A">
      <w:pPr>
        <w:rPr>
          <w:rFonts w:hint="eastAsia"/>
          <w:sz w:val="36"/>
          <w:szCs w:val="36"/>
        </w:rPr>
      </w:pPr>
    </w:p>
    <w:sectPr w:rsidR="00574A55">
      <w:footerReference w:type="default" r:id="rId9"/>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36" w:rsidRDefault="00A32D36">
      <w:r>
        <w:separator/>
      </w:r>
    </w:p>
  </w:endnote>
  <w:endnote w:type="continuationSeparator" w:id="0">
    <w:p w:rsidR="00A32D36" w:rsidRDefault="00A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6E" w:rsidRDefault="0067666E">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67666E" w:rsidRDefault="0067666E">
                          <w:pPr>
                            <w:pStyle w:val="ab"/>
                          </w:pPr>
                          <w:r>
                            <w:rPr>
                              <w:rStyle w:val="ad"/>
                            </w:rPr>
                            <w:fldChar w:fldCharType="begin"/>
                          </w:r>
                          <w:r>
                            <w:rPr>
                              <w:rStyle w:val="ad"/>
                            </w:rPr>
                            <w:instrText xml:space="preserve"> PAGE </w:instrText>
                          </w:r>
                          <w:r>
                            <w:rPr>
                              <w:rStyle w:val="ad"/>
                            </w:rPr>
                            <w:fldChar w:fldCharType="separate"/>
                          </w:r>
                          <w:r w:rsidR="00091D6A">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2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67666E" w:rsidRDefault="0067666E">
                    <w:pPr>
                      <w:pStyle w:val="ab"/>
                    </w:pPr>
                    <w:r>
                      <w:rPr>
                        <w:rStyle w:val="ad"/>
                      </w:rPr>
                      <w:fldChar w:fldCharType="begin"/>
                    </w:r>
                    <w:r>
                      <w:rPr>
                        <w:rStyle w:val="ad"/>
                      </w:rPr>
                      <w:instrText xml:space="preserve"> PAGE </w:instrText>
                    </w:r>
                    <w:r>
                      <w:rPr>
                        <w:rStyle w:val="ad"/>
                      </w:rPr>
                      <w:fldChar w:fldCharType="separate"/>
                    </w:r>
                    <w:r w:rsidR="00091D6A">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6E" w:rsidRDefault="0067666E">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67666E" w:rsidRDefault="0067666E">
                          <w:pPr>
                            <w:pStyle w:val="ab"/>
                          </w:pPr>
                          <w:r>
                            <w:rPr>
                              <w:rStyle w:val="ad"/>
                            </w:rPr>
                            <w:fldChar w:fldCharType="begin"/>
                          </w:r>
                          <w:r>
                            <w:rPr>
                              <w:rStyle w:val="ad"/>
                            </w:rPr>
                            <w:instrText xml:space="preserve"> PAGE </w:instrText>
                          </w:r>
                          <w:r>
                            <w:rPr>
                              <w:rStyle w:val="ad"/>
                            </w:rPr>
                            <w:fldChar w:fldCharType="separate"/>
                          </w:r>
                          <w:r w:rsidR="00091D6A">
                            <w:rPr>
                              <w:rStyle w:val="ad"/>
                              <w:noProof/>
                            </w:rPr>
                            <w:t>2</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27"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67666E" w:rsidRDefault="0067666E">
                    <w:pPr>
                      <w:pStyle w:val="ab"/>
                    </w:pPr>
                    <w:r>
                      <w:rPr>
                        <w:rStyle w:val="ad"/>
                      </w:rPr>
                      <w:fldChar w:fldCharType="begin"/>
                    </w:r>
                    <w:r>
                      <w:rPr>
                        <w:rStyle w:val="ad"/>
                      </w:rPr>
                      <w:instrText xml:space="preserve"> PAGE </w:instrText>
                    </w:r>
                    <w:r>
                      <w:rPr>
                        <w:rStyle w:val="ad"/>
                      </w:rPr>
                      <w:fldChar w:fldCharType="separate"/>
                    </w:r>
                    <w:r w:rsidR="00091D6A">
                      <w:rPr>
                        <w:rStyle w:val="ad"/>
                        <w:noProof/>
                      </w:rPr>
                      <w:t>2</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36" w:rsidRDefault="00A32D36">
      <w:r>
        <w:rPr>
          <w:color w:val="000000"/>
        </w:rPr>
        <w:separator/>
      </w:r>
    </w:p>
  </w:footnote>
  <w:footnote w:type="continuationSeparator" w:id="0">
    <w:p w:rsidR="00A32D36" w:rsidRDefault="00A3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06378"/>
    <w:rsid w:val="00024B29"/>
    <w:rsid w:val="00024B73"/>
    <w:rsid w:val="00025878"/>
    <w:rsid w:val="00033825"/>
    <w:rsid w:val="000359C5"/>
    <w:rsid w:val="0005315B"/>
    <w:rsid w:val="00074AEE"/>
    <w:rsid w:val="00091D6A"/>
    <w:rsid w:val="000A702E"/>
    <w:rsid w:val="000B1626"/>
    <w:rsid w:val="000B3601"/>
    <w:rsid w:val="000C01D3"/>
    <w:rsid w:val="000D1332"/>
    <w:rsid w:val="000F0CB0"/>
    <w:rsid w:val="000F4DDA"/>
    <w:rsid w:val="001113A2"/>
    <w:rsid w:val="001145A7"/>
    <w:rsid w:val="001256C3"/>
    <w:rsid w:val="001611DB"/>
    <w:rsid w:val="00163ED3"/>
    <w:rsid w:val="00177230"/>
    <w:rsid w:val="00190576"/>
    <w:rsid w:val="0019134E"/>
    <w:rsid w:val="001A1EB7"/>
    <w:rsid w:val="001C49AC"/>
    <w:rsid w:val="001C547F"/>
    <w:rsid w:val="001D7CC9"/>
    <w:rsid w:val="001F3F88"/>
    <w:rsid w:val="001F6A12"/>
    <w:rsid w:val="0020456F"/>
    <w:rsid w:val="0021735B"/>
    <w:rsid w:val="00230741"/>
    <w:rsid w:val="00232595"/>
    <w:rsid w:val="00232A14"/>
    <w:rsid w:val="00232C31"/>
    <w:rsid w:val="002435B8"/>
    <w:rsid w:val="002523E0"/>
    <w:rsid w:val="0025637A"/>
    <w:rsid w:val="00262978"/>
    <w:rsid w:val="0027010A"/>
    <w:rsid w:val="0027703D"/>
    <w:rsid w:val="002844FF"/>
    <w:rsid w:val="002A05BD"/>
    <w:rsid w:val="002A1542"/>
    <w:rsid w:val="002B7930"/>
    <w:rsid w:val="002D20EA"/>
    <w:rsid w:val="002F6142"/>
    <w:rsid w:val="00302E00"/>
    <w:rsid w:val="0030461E"/>
    <w:rsid w:val="00304663"/>
    <w:rsid w:val="00312089"/>
    <w:rsid w:val="00314C80"/>
    <w:rsid w:val="00315ECE"/>
    <w:rsid w:val="00323A8D"/>
    <w:rsid w:val="00326EC1"/>
    <w:rsid w:val="00333ACF"/>
    <w:rsid w:val="00345EE4"/>
    <w:rsid w:val="0035668B"/>
    <w:rsid w:val="00365B87"/>
    <w:rsid w:val="00394085"/>
    <w:rsid w:val="00394119"/>
    <w:rsid w:val="00395B72"/>
    <w:rsid w:val="003A55A4"/>
    <w:rsid w:val="003A575A"/>
    <w:rsid w:val="003C6D5B"/>
    <w:rsid w:val="003D0BBD"/>
    <w:rsid w:val="003F5322"/>
    <w:rsid w:val="004019C0"/>
    <w:rsid w:val="0043107A"/>
    <w:rsid w:val="00432957"/>
    <w:rsid w:val="00445BDF"/>
    <w:rsid w:val="0046046E"/>
    <w:rsid w:val="00484F3E"/>
    <w:rsid w:val="00496C65"/>
    <w:rsid w:val="00496D7A"/>
    <w:rsid w:val="004B1619"/>
    <w:rsid w:val="004C55B0"/>
    <w:rsid w:val="005154E4"/>
    <w:rsid w:val="0055624B"/>
    <w:rsid w:val="00574A55"/>
    <w:rsid w:val="0058013B"/>
    <w:rsid w:val="005851DE"/>
    <w:rsid w:val="0058602B"/>
    <w:rsid w:val="00594E52"/>
    <w:rsid w:val="0059531D"/>
    <w:rsid w:val="005A3532"/>
    <w:rsid w:val="005A37CC"/>
    <w:rsid w:val="005A47FE"/>
    <w:rsid w:val="005B1392"/>
    <w:rsid w:val="005B38F8"/>
    <w:rsid w:val="005D4A93"/>
    <w:rsid w:val="005D5B09"/>
    <w:rsid w:val="005E2E3B"/>
    <w:rsid w:val="005E55B2"/>
    <w:rsid w:val="005F2E9F"/>
    <w:rsid w:val="005F653C"/>
    <w:rsid w:val="00602038"/>
    <w:rsid w:val="00605D2D"/>
    <w:rsid w:val="00607055"/>
    <w:rsid w:val="0061560D"/>
    <w:rsid w:val="0061668F"/>
    <w:rsid w:val="00626FC3"/>
    <w:rsid w:val="0062704C"/>
    <w:rsid w:val="00642A6B"/>
    <w:rsid w:val="00650ECF"/>
    <w:rsid w:val="006752A2"/>
    <w:rsid w:val="0067655E"/>
    <w:rsid w:val="0067666E"/>
    <w:rsid w:val="006773AD"/>
    <w:rsid w:val="006B6E72"/>
    <w:rsid w:val="006C1946"/>
    <w:rsid w:val="006C6B59"/>
    <w:rsid w:val="006D04C0"/>
    <w:rsid w:val="006D3029"/>
    <w:rsid w:val="006E48AD"/>
    <w:rsid w:val="00702253"/>
    <w:rsid w:val="00713891"/>
    <w:rsid w:val="00713FF4"/>
    <w:rsid w:val="00732C39"/>
    <w:rsid w:val="0075304A"/>
    <w:rsid w:val="00753C68"/>
    <w:rsid w:val="00787BB3"/>
    <w:rsid w:val="0079516C"/>
    <w:rsid w:val="00795656"/>
    <w:rsid w:val="007C78A7"/>
    <w:rsid w:val="007D55D1"/>
    <w:rsid w:val="007D6644"/>
    <w:rsid w:val="007F4AC3"/>
    <w:rsid w:val="00801C0A"/>
    <w:rsid w:val="0080316D"/>
    <w:rsid w:val="008158DF"/>
    <w:rsid w:val="00815D24"/>
    <w:rsid w:val="00832461"/>
    <w:rsid w:val="008611BB"/>
    <w:rsid w:val="0086562E"/>
    <w:rsid w:val="00873CD5"/>
    <w:rsid w:val="00876270"/>
    <w:rsid w:val="008B7A4A"/>
    <w:rsid w:val="008C1675"/>
    <w:rsid w:val="008C5E3A"/>
    <w:rsid w:val="008C6029"/>
    <w:rsid w:val="008D1178"/>
    <w:rsid w:val="008D1AE7"/>
    <w:rsid w:val="008D4730"/>
    <w:rsid w:val="008E375F"/>
    <w:rsid w:val="00920C4E"/>
    <w:rsid w:val="00952D4D"/>
    <w:rsid w:val="00956B7F"/>
    <w:rsid w:val="00963103"/>
    <w:rsid w:val="0097775F"/>
    <w:rsid w:val="009A18D1"/>
    <w:rsid w:val="009A1DB3"/>
    <w:rsid w:val="009A26F2"/>
    <w:rsid w:val="009E1A6C"/>
    <w:rsid w:val="009F26C8"/>
    <w:rsid w:val="009F6D56"/>
    <w:rsid w:val="00A10684"/>
    <w:rsid w:val="00A32D36"/>
    <w:rsid w:val="00A352BB"/>
    <w:rsid w:val="00A37212"/>
    <w:rsid w:val="00A43F39"/>
    <w:rsid w:val="00A44C12"/>
    <w:rsid w:val="00A52F02"/>
    <w:rsid w:val="00A6013C"/>
    <w:rsid w:val="00A639AA"/>
    <w:rsid w:val="00A70DE5"/>
    <w:rsid w:val="00A83EDD"/>
    <w:rsid w:val="00AB0F48"/>
    <w:rsid w:val="00AD41F6"/>
    <w:rsid w:val="00AE07FD"/>
    <w:rsid w:val="00AE0A9B"/>
    <w:rsid w:val="00AE7E37"/>
    <w:rsid w:val="00AF4A80"/>
    <w:rsid w:val="00B14E5A"/>
    <w:rsid w:val="00B15893"/>
    <w:rsid w:val="00B352FA"/>
    <w:rsid w:val="00B362C8"/>
    <w:rsid w:val="00B40D30"/>
    <w:rsid w:val="00B50CD1"/>
    <w:rsid w:val="00B55C6D"/>
    <w:rsid w:val="00B57544"/>
    <w:rsid w:val="00B62971"/>
    <w:rsid w:val="00B67B2E"/>
    <w:rsid w:val="00B71420"/>
    <w:rsid w:val="00B72A40"/>
    <w:rsid w:val="00B75DE0"/>
    <w:rsid w:val="00B82F5B"/>
    <w:rsid w:val="00BA1AB1"/>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EE2B09"/>
    <w:rsid w:val="00F05A1F"/>
    <w:rsid w:val="00F129BE"/>
    <w:rsid w:val="00F248DC"/>
    <w:rsid w:val="00F25F77"/>
    <w:rsid w:val="00F344C2"/>
    <w:rsid w:val="00F466A0"/>
    <w:rsid w:val="00F64C98"/>
    <w:rsid w:val="00F7545B"/>
    <w:rsid w:val="00F773BC"/>
    <w:rsid w:val="00F8391E"/>
    <w:rsid w:val="00F96CF2"/>
    <w:rsid w:val="00F97E10"/>
    <w:rsid w:val="00FA2EC0"/>
    <w:rsid w:val="00FA7243"/>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0665E"/>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2102-5E19-4ED6-A964-B153F65E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孫郁翔(denny0328)</cp:lastModifiedBy>
  <cp:revision>2</cp:revision>
  <cp:lastPrinted>2022-01-28T05:44:00Z</cp:lastPrinted>
  <dcterms:created xsi:type="dcterms:W3CDTF">2024-08-29T02:56:00Z</dcterms:created>
  <dcterms:modified xsi:type="dcterms:W3CDTF">2024-08-29T02:56:00Z</dcterms:modified>
</cp:coreProperties>
</file>